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52102" w14:textId="565D58D9" w:rsidR="00B9239F" w:rsidRDefault="00B9239F" w:rsidP="00B9239F">
      <w:pPr>
        <w:jc w:val="center"/>
        <w:rPr>
          <w:sz w:val="22"/>
        </w:rPr>
      </w:pPr>
      <w:bookmarkStart w:id="0" w:name="OLE_LINK1"/>
      <w:bookmarkStart w:id="1" w:name="OLE_LINK2"/>
      <w:r>
        <w:rPr>
          <w:b/>
          <w:sz w:val="28"/>
        </w:rPr>
        <w:t>Rapport moral et d’activités pour l’année 20</w:t>
      </w:r>
      <w:r w:rsidR="0038392E">
        <w:rPr>
          <w:b/>
          <w:sz w:val="28"/>
        </w:rPr>
        <w:t>20</w:t>
      </w:r>
    </w:p>
    <w:p w14:paraId="610CAF6F" w14:textId="3148BEB4" w:rsidR="00310AAB" w:rsidRDefault="00310AAB" w:rsidP="00310AAB">
      <w:pPr>
        <w:rPr>
          <w:sz w:val="22"/>
        </w:rPr>
      </w:pPr>
    </w:p>
    <w:p w14:paraId="668D25A1" w14:textId="77777777" w:rsidR="00950C71" w:rsidRDefault="00950C71" w:rsidP="00310AAB">
      <w:pPr>
        <w:spacing w:line="360" w:lineRule="atLeast"/>
        <w:ind w:right="847"/>
        <w:jc w:val="both"/>
      </w:pPr>
    </w:p>
    <w:p w14:paraId="51A07F83" w14:textId="1006ED09" w:rsidR="0008502A" w:rsidRDefault="00950C71" w:rsidP="00950C71">
      <w:pPr>
        <w:spacing w:line="360" w:lineRule="atLeast"/>
        <w:ind w:right="847"/>
        <w:jc w:val="right"/>
      </w:pPr>
      <w:r>
        <w:t xml:space="preserve">Paris le </w:t>
      </w:r>
      <w:r w:rsidR="0038392E">
        <w:t>22-04</w:t>
      </w:r>
      <w:r>
        <w:t xml:space="preserve"> 2021</w:t>
      </w:r>
    </w:p>
    <w:p w14:paraId="0D57D7A9" w14:textId="77777777" w:rsidR="00A818B5" w:rsidRDefault="00A818B5" w:rsidP="00AC5814">
      <w:pPr>
        <w:spacing w:line="360" w:lineRule="atLeast"/>
        <w:ind w:left="1134" w:right="847"/>
        <w:rPr>
          <w:b/>
          <w:color w:val="3366FF"/>
        </w:rPr>
      </w:pPr>
    </w:p>
    <w:p w14:paraId="4CE50273" w14:textId="72894260" w:rsidR="00950C71" w:rsidRDefault="00AC5814" w:rsidP="00DC7CB5">
      <w:pPr>
        <w:spacing w:before="20"/>
        <w:jc w:val="both"/>
      </w:pPr>
      <w:r>
        <w:rPr>
          <w:b/>
          <w:color w:val="3366FF"/>
        </w:rPr>
        <w:t xml:space="preserve">   </w:t>
      </w:r>
      <w:r w:rsidR="00950C71">
        <w:rPr>
          <w:b/>
          <w:color w:val="3366FF"/>
        </w:rPr>
        <w:t xml:space="preserve"> </w:t>
      </w:r>
      <w:r w:rsidR="00950C71">
        <w:t>Ch</w:t>
      </w:r>
      <w:r w:rsidR="003417BE">
        <w:t>è</w:t>
      </w:r>
      <w:r w:rsidR="00950C71">
        <w:t>r</w:t>
      </w:r>
      <w:r w:rsidR="003417BE">
        <w:t>e</w:t>
      </w:r>
      <w:r w:rsidR="00950C71">
        <w:t>s adhérent</w:t>
      </w:r>
      <w:r w:rsidR="003417BE">
        <w:t>e</w:t>
      </w:r>
      <w:r w:rsidR="00950C71">
        <w:t xml:space="preserve">s, </w:t>
      </w:r>
      <w:r w:rsidR="003417BE">
        <w:t xml:space="preserve">chers adhérents, </w:t>
      </w:r>
      <w:r w:rsidR="00950C71">
        <w:t>chers A</w:t>
      </w:r>
      <w:r w:rsidR="003417BE">
        <w:t>.</w:t>
      </w:r>
      <w:r w:rsidR="00950C71">
        <w:t>MI</w:t>
      </w:r>
      <w:r w:rsidR="003417BE">
        <w:t>.</w:t>
      </w:r>
      <w:r w:rsidR="00950C71">
        <w:t>S</w:t>
      </w:r>
      <w:r w:rsidR="003417BE">
        <w:t>.</w:t>
      </w:r>
      <w:r w:rsidR="00950C71">
        <w:t xml:space="preserve"> </w:t>
      </w:r>
    </w:p>
    <w:p w14:paraId="471478FA" w14:textId="77777777" w:rsidR="00950C71" w:rsidRDefault="00950C71" w:rsidP="00DC7CB5">
      <w:pPr>
        <w:spacing w:before="20"/>
        <w:jc w:val="both"/>
      </w:pPr>
    </w:p>
    <w:p w14:paraId="1DDEB6E9" w14:textId="4BFEBF29" w:rsidR="0038392E" w:rsidRDefault="005561CE" w:rsidP="00DC7CB5">
      <w:pPr>
        <w:spacing w:beforeLines="40" w:before="96"/>
        <w:jc w:val="both"/>
      </w:pPr>
      <w:r>
        <w:t>Durant l</w:t>
      </w:r>
      <w:r w:rsidR="00B9239F">
        <w:t>’année 20</w:t>
      </w:r>
      <w:r w:rsidR="0038392E">
        <w:t>20</w:t>
      </w:r>
      <w:r>
        <w:t xml:space="preserve">, notre association a connu une activité </w:t>
      </w:r>
      <w:r w:rsidR="0038392E">
        <w:t>très réduite à cause de la crise sanitaire. Une seule conférence a pu se tenir le samedi 18 janvier où Christian Chopin, Directeur de recherches au CNRS nous a instruit sur :</w:t>
      </w:r>
    </w:p>
    <w:p w14:paraId="50C31886" w14:textId="37EA9494" w:rsidR="0038392E" w:rsidRDefault="0038392E" w:rsidP="0038392E">
      <w:pPr>
        <w:spacing w:beforeLines="40" w:before="96"/>
        <w:jc w:val="center"/>
      </w:pPr>
      <w:r>
        <w:rPr>
          <w:b/>
        </w:rPr>
        <w:t>Les minéraux de haute pression, messagers des grandes profondeurs</w:t>
      </w:r>
    </w:p>
    <w:p w14:paraId="0F0F4D23" w14:textId="1466FAEF" w:rsidR="00D65542" w:rsidRDefault="0038392E" w:rsidP="00DC7CB5">
      <w:pPr>
        <w:spacing w:beforeLines="40" w:before="96"/>
        <w:ind w:left="60"/>
        <w:jc w:val="both"/>
      </w:pPr>
      <w:r>
        <w:t>Par contre les acquisitions par notre association ont été de belle qualité.</w:t>
      </w:r>
    </w:p>
    <w:p w14:paraId="3852D0C3" w14:textId="03CA02FD" w:rsidR="00D55E6B" w:rsidRDefault="0038392E" w:rsidP="0038392E">
      <w:pPr>
        <w:pStyle w:val="Paragraphedeliste"/>
        <w:numPr>
          <w:ilvl w:val="0"/>
          <w:numId w:val="5"/>
        </w:numPr>
        <w:spacing w:beforeLines="40" w:before="96"/>
        <w:jc w:val="both"/>
      </w:pPr>
      <w:r>
        <w:t>Un lot de cinq tranches de tourmaline (</w:t>
      </w:r>
      <w:proofErr w:type="spellStart"/>
      <w:r>
        <w:t>liddicoatite</w:t>
      </w:r>
      <w:proofErr w:type="spellEnd"/>
      <w:r>
        <w:t>) de Madagascar, destinées à agrémenter l’exposition sur les couleurs dans les minéraux</w:t>
      </w:r>
      <w:r w:rsidR="002F46BD">
        <w:t>.</w:t>
      </w:r>
    </w:p>
    <w:p w14:paraId="77E15EBA" w14:textId="1AE10049" w:rsidR="002F46BD" w:rsidRDefault="002F46BD" w:rsidP="0038392E">
      <w:pPr>
        <w:pStyle w:val="Paragraphedeliste"/>
        <w:numPr>
          <w:ilvl w:val="0"/>
          <w:numId w:val="5"/>
        </w:numPr>
        <w:spacing w:beforeLines="40" w:before="96"/>
        <w:jc w:val="both"/>
      </w:pPr>
      <w:r>
        <w:t xml:space="preserve">Une remarquable </w:t>
      </w:r>
      <w:proofErr w:type="spellStart"/>
      <w:r>
        <w:t>ludlamite</w:t>
      </w:r>
      <w:proofErr w:type="spellEnd"/>
      <w:r>
        <w:t xml:space="preserve"> de </w:t>
      </w:r>
      <w:proofErr w:type="spellStart"/>
      <w:r>
        <w:t>Huanuni</w:t>
      </w:r>
      <w:proofErr w:type="spellEnd"/>
      <w:r>
        <w:t>, Potosi, Bolivie. C’est un groupement de cristaux en éventail avoisinant 6 cm. Cette acquisition comble un point faible de la collection.</w:t>
      </w:r>
    </w:p>
    <w:p w14:paraId="44D4AD96" w14:textId="068DA3CB" w:rsidR="002F46BD" w:rsidRDefault="002F46BD" w:rsidP="0038392E">
      <w:pPr>
        <w:pStyle w:val="Paragraphedeliste"/>
        <w:numPr>
          <w:ilvl w:val="0"/>
          <w:numId w:val="5"/>
        </w:numPr>
        <w:spacing w:beforeLines="40" w:before="96"/>
        <w:jc w:val="both"/>
      </w:pPr>
      <w:r>
        <w:t xml:space="preserve">Une remarquable </w:t>
      </w:r>
      <w:proofErr w:type="spellStart"/>
      <w:r>
        <w:t>dioptase</w:t>
      </w:r>
      <w:proofErr w:type="spellEnd"/>
      <w:r>
        <w:t xml:space="preserve"> sur </w:t>
      </w:r>
      <w:proofErr w:type="spellStart"/>
      <w:r>
        <w:t>planchéite</w:t>
      </w:r>
      <w:proofErr w:type="spellEnd"/>
      <w:r w:rsidR="00444F50">
        <w:t xml:space="preserve"> </w:t>
      </w:r>
      <w:r>
        <w:t xml:space="preserve">de </w:t>
      </w:r>
      <w:proofErr w:type="spellStart"/>
      <w:r>
        <w:t>Pimbi</w:t>
      </w:r>
      <w:proofErr w:type="spellEnd"/>
      <w:r>
        <w:t>, la République du Congo. Son esthétique est très originale et permet là aussi de combler un point faible de la collection.</w:t>
      </w:r>
    </w:p>
    <w:p w14:paraId="7679E626" w14:textId="32674B95" w:rsidR="002F46BD" w:rsidRDefault="002F46BD" w:rsidP="0038392E">
      <w:pPr>
        <w:pStyle w:val="Paragraphedeliste"/>
        <w:numPr>
          <w:ilvl w:val="0"/>
          <w:numId w:val="5"/>
        </w:numPr>
        <w:spacing w:beforeLines="40" w:before="96"/>
        <w:jc w:val="both"/>
      </w:pPr>
      <w:r>
        <w:t xml:space="preserve">Une </w:t>
      </w:r>
      <w:proofErr w:type="spellStart"/>
      <w:r>
        <w:t>löllingite</w:t>
      </w:r>
      <w:proofErr w:type="spellEnd"/>
      <w:r>
        <w:t xml:space="preserve"> avec fluorite et scheelite de </w:t>
      </w:r>
      <w:proofErr w:type="spellStart"/>
      <w:r>
        <w:t>Huangangliang</w:t>
      </w:r>
      <w:proofErr w:type="spellEnd"/>
      <w:r>
        <w:t xml:space="preserve">, Mongolie Intérieure, Chine qui permet d’illustrer la </w:t>
      </w:r>
      <w:proofErr w:type="spellStart"/>
      <w:r>
        <w:t>paragenèse</w:t>
      </w:r>
      <w:proofErr w:type="spellEnd"/>
      <w:r>
        <w:t xml:space="preserve"> de cette </w:t>
      </w:r>
      <w:r w:rsidR="00E05FEF">
        <w:t>mine qui est d’or</w:t>
      </w:r>
      <w:r w:rsidR="003E3F5B">
        <w:t>e</w:t>
      </w:r>
      <w:r w:rsidR="00E05FEF">
        <w:t xml:space="preserve">s et déjà </w:t>
      </w:r>
      <w:r w:rsidR="003E3F5B">
        <w:t>un grand classique</w:t>
      </w:r>
      <w:r w:rsidR="00444F50">
        <w:t xml:space="preserve"> </w:t>
      </w:r>
      <w:r w:rsidR="003E3F5B">
        <w:t>d</w:t>
      </w:r>
      <w:r w:rsidR="00444F50">
        <w:t>e</w:t>
      </w:r>
      <w:r w:rsidR="003E3F5B">
        <w:t xml:space="preserve"> la minéralogie internationale.</w:t>
      </w:r>
      <w:r>
        <w:t xml:space="preserve"> </w:t>
      </w:r>
    </w:p>
    <w:p w14:paraId="1AE11F18" w14:textId="3A268E88" w:rsidR="003E3F5B" w:rsidRDefault="003E3F5B" w:rsidP="0038392E">
      <w:pPr>
        <w:pStyle w:val="Paragraphedeliste"/>
        <w:numPr>
          <w:ilvl w:val="0"/>
          <w:numId w:val="5"/>
        </w:numPr>
        <w:spacing w:beforeLines="40" w:before="96"/>
        <w:jc w:val="both"/>
      </w:pPr>
      <w:r>
        <w:t xml:space="preserve">Une </w:t>
      </w:r>
      <w:proofErr w:type="spellStart"/>
      <w:r>
        <w:t>wittichenite</w:t>
      </w:r>
      <w:proofErr w:type="spellEnd"/>
      <w:r>
        <w:t xml:space="preserve"> de </w:t>
      </w:r>
      <w:proofErr w:type="spellStart"/>
      <w:r>
        <w:t>Cattle</w:t>
      </w:r>
      <w:proofErr w:type="spellEnd"/>
      <w:r>
        <w:t xml:space="preserve"> </w:t>
      </w:r>
      <w:proofErr w:type="spellStart"/>
      <w:r>
        <w:t>Grid</w:t>
      </w:r>
      <w:proofErr w:type="spellEnd"/>
      <w:r>
        <w:t xml:space="preserve"> d’Australie du Sud, qui se situe parmi une vi</w:t>
      </w:r>
      <w:r w:rsidR="00444F50">
        <w:t>ngtaine de</w:t>
      </w:r>
      <w:r>
        <w:t xml:space="preserve"> cristaux connus pour être les plus grands de l’espèce.</w:t>
      </w:r>
    </w:p>
    <w:p w14:paraId="4C1A2CF6" w14:textId="064A3027" w:rsidR="003E3F5B" w:rsidRDefault="003E3F5B" w:rsidP="0038392E">
      <w:pPr>
        <w:pStyle w:val="Paragraphedeliste"/>
        <w:numPr>
          <w:ilvl w:val="0"/>
          <w:numId w:val="5"/>
        </w:numPr>
        <w:spacing w:beforeLines="40" w:before="96"/>
        <w:jc w:val="both"/>
      </w:pPr>
      <w:r>
        <w:t>Une « </w:t>
      </w:r>
      <w:proofErr w:type="spellStart"/>
      <w:r>
        <w:t>gogotte</w:t>
      </w:r>
      <w:proofErr w:type="spellEnd"/>
      <w:r>
        <w:t> » de grès d’</w:t>
      </w:r>
      <w:proofErr w:type="spellStart"/>
      <w:r>
        <w:t>Harleville</w:t>
      </w:r>
      <w:proofErr w:type="spellEnd"/>
      <w:r>
        <w:t xml:space="preserve">, Eure-et-Loir, qui a été </w:t>
      </w:r>
      <w:proofErr w:type="spellStart"/>
      <w:r>
        <w:t>soclée</w:t>
      </w:r>
      <w:proofErr w:type="spellEnd"/>
      <w:r>
        <w:t xml:space="preserve"> par J.-C. Boulliard et installée à l’accueil.</w:t>
      </w:r>
    </w:p>
    <w:p w14:paraId="45E58F72" w14:textId="3BF997F4" w:rsidR="003E3F5B" w:rsidRDefault="003E3F5B" w:rsidP="003E3F5B">
      <w:pPr>
        <w:pStyle w:val="Paragraphedeliste"/>
        <w:numPr>
          <w:ilvl w:val="0"/>
          <w:numId w:val="5"/>
        </w:numPr>
        <w:spacing w:beforeLines="40" w:before="96"/>
        <w:jc w:val="both"/>
      </w:pPr>
      <w:r>
        <w:t>Deux boules d’ampélite avec des cristaux de pyrite de la car</w:t>
      </w:r>
      <w:r w:rsidR="00A14C58">
        <w:t>r</w:t>
      </w:r>
      <w:r>
        <w:t xml:space="preserve">ière </w:t>
      </w:r>
      <w:proofErr w:type="spellStart"/>
      <w:r>
        <w:t>Nivet</w:t>
      </w:r>
      <w:proofErr w:type="spellEnd"/>
      <w:r>
        <w:t xml:space="preserve">, Saint Denis d’Orques, Sarthe, qui ont été </w:t>
      </w:r>
      <w:proofErr w:type="spellStart"/>
      <w:r>
        <w:t>soclées</w:t>
      </w:r>
      <w:proofErr w:type="spellEnd"/>
      <w:r>
        <w:t xml:space="preserve"> par J.-C. Boulliard et installée</w:t>
      </w:r>
      <w:r w:rsidR="00444F50">
        <w:t>s</w:t>
      </w:r>
      <w:r>
        <w:t xml:space="preserve"> à l’accueil.</w:t>
      </w:r>
      <w:r w:rsidR="004F5C0C">
        <w:t xml:space="preserve"> Ces b</w:t>
      </w:r>
      <w:r w:rsidR="00444F50">
        <w:t xml:space="preserve">oules sont un don de M Yvan </w:t>
      </w:r>
      <w:proofErr w:type="spellStart"/>
      <w:r w:rsidR="00444F50">
        <w:t>Eli</w:t>
      </w:r>
      <w:r w:rsidR="004F5C0C">
        <w:t>ssa</w:t>
      </w:r>
      <w:r w:rsidR="00444F50">
        <w:t>l</w:t>
      </w:r>
      <w:r w:rsidR="004F5C0C">
        <w:t>de</w:t>
      </w:r>
      <w:proofErr w:type="spellEnd"/>
      <w:r w:rsidR="004F5C0C">
        <w:t>.</w:t>
      </w:r>
    </w:p>
    <w:p w14:paraId="6725FC3E" w14:textId="71473392" w:rsidR="003E3F5B" w:rsidRDefault="006300FD" w:rsidP="0038392E">
      <w:pPr>
        <w:pStyle w:val="Paragraphedeliste"/>
        <w:numPr>
          <w:ilvl w:val="0"/>
          <w:numId w:val="5"/>
        </w:numPr>
        <w:spacing w:beforeLines="40" w:before="96"/>
        <w:jc w:val="both"/>
      </w:pPr>
      <w:r>
        <w:t xml:space="preserve">Une </w:t>
      </w:r>
      <w:proofErr w:type="spellStart"/>
      <w:r>
        <w:t>roweite</w:t>
      </w:r>
      <w:proofErr w:type="spellEnd"/>
      <w:r>
        <w:t xml:space="preserve"> avec </w:t>
      </w:r>
      <w:proofErr w:type="spellStart"/>
      <w:r>
        <w:t>olshanskyite</w:t>
      </w:r>
      <w:proofErr w:type="spellEnd"/>
      <w:r w:rsidRPr="006300FD">
        <w:t xml:space="preserve"> </w:t>
      </w:r>
      <w:r>
        <w:t xml:space="preserve">de </w:t>
      </w:r>
      <w:proofErr w:type="spellStart"/>
      <w:r>
        <w:t>Huangangliang</w:t>
      </w:r>
      <w:proofErr w:type="spellEnd"/>
      <w:r>
        <w:t>, Mongolie Intérieure, Chine. C’est l’un de</w:t>
      </w:r>
      <w:r w:rsidR="00444F50">
        <w:t>s</w:t>
      </w:r>
      <w:r>
        <w:t xml:space="preserve"> meilleurs spécimens connus d’une découverte récente et limitée.</w:t>
      </w:r>
    </w:p>
    <w:p w14:paraId="1A414512" w14:textId="5B304176" w:rsidR="006300FD" w:rsidRDefault="006300FD" w:rsidP="0038392E">
      <w:pPr>
        <w:pStyle w:val="Paragraphedeliste"/>
        <w:numPr>
          <w:ilvl w:val="0"/>
          <w:numId w:val="5"/>
        </w:numPr>
        <w:spacing w:beforeLines="40" w:before="96"/>
        <w:jc w:val="both"/>
      </w:pPr>
      <w:r>
        <w:t xml:space="preserve">Une </w:t>
      </w:r>
      <w:proofErr w:type="spellStart"/>
      <w:r>
        <w:t>olshanskyite</w:t>
      </w:r>
      <w:proofErr w:type="spellEnd"/>
      <w:r w:rsidRPr="006300FD">
        <w:t xml:space="preserve"> </w:t>
      </w:r>
      <w:r>
        <w:t xml:space="preserve">de </w:t>
      </w:r>
      <w:proofErr w:type="spellStart"/>
      <w:r>
        <w:t>Huangangliang</w:t>
      </w:r>
      <w:proofErr w:type="spellEnd"/>
      <w:r>
        <w:t>, Mongolie Intérieure, Chine. Elle se singularise par sa qualité.</w:t>
      </w:r>
    </w:p>
    <w:p w14:paraId="654C43AD" w14:textId="487DA7DB" w:rsidR="006300FD" w:rsidRDefault="006300FD" w:rsidP="0038392E">
      <w:pPr>
        <w:pStyle w:val="Paragraphedeliste"/>
        <w:numPr>
          <w:ilvl w:val="0"/>
          <w:numId w:val="5"/>
        </w:numPr>
        <w:spacing w:beforeLines="40" w:before="96"/>
        <w:jc w:val="both"/>
      </w:pPr>
      <w:r>
        <w:t xml:space="preserve">Un cristal de fluorite verte associé à des cristaux </w:t>
      </w:r>
      <w:r w:rsidR="00A75E38">
        <w:t xml:space="preserve">de tourmaline et feldspath de </w:t>
      </w:r>
      <w:proofErr w:type="spellStart"/>
      <w:r w:rsidR="00A75E38">
        <w:t>Stak</w:t>
      </w:r>
      <w:proofErr w:type="spellEnd"/>
      <w:r w:rsidR="00A75E38">
        <w:t xml:space="preserve"> </w:t>
      </w:r>
      <w:proofErr w:type="spellStart"/>
      <w:r w:rsidR="00A75E38">
        <w:t>Nala</w:t>
      </w:r>
      <w:proofErr w:type="spellEnd"/>
      <w:r w:rsidR="0014159C">
        <w:t xml:space="preserve">, </w:t>
      </w:r>
      <w:r w:rsidR="00444F50">
        <w:t>Pakistan. Les spé</w:t>
      </w:r>
      <w:r w:rsidR="004F5C0C">
        <w:t>cimen</w:t>
      </w:r>
      <w:r w:rsidR="00444F50">
        <w:t xml:space="preserve">s de </w:t>
      </w:r>
      <w:proofErr w:type="spellStart"/>
      <w:r w:rsidR="00444F50">
        <w:t>S</w:t>
      </w:r>
      <w:r w:rsidR="004F5C0C">
        <w:t>tak</w:t>
      </w:r>
      <w:proofErr w:type="spellEnd"/>
      <w:r w:rsidR="004F5C0C">
        <w:t xml:space="preserve"> </w:t>
      </w:r>
      <w:proofErr w:type="spellStart"/>
      <w:r w:rsidR="004F5C0C">
        <w:t>Nala</w:t>
      </w:r>
      <w:proofErr w:type="spellEnd"/>
      <w:r w:rsidR="004F5C0C">
        <w:t xml:space="preserve"> sont des classiques qui se reconnaissent facilement avec leurs cristaux de tourmalines quasi-parallèles, soudés par l’intermédiaire des cristaux de feldspath. La collection n’en avait pas et peut maintenant s’enorgueillir d’être la première collection française à en posséder.</w:t>
      </w:r>
    </w:p>
    <w:p w14:paraId="42D9B96C" w14:textId="70ABA94B" w:rsidR="000A74A1" w:rsidRDefault="00D65542" w:rsidP="003E3F04">
      <w:pPr>
        <w:spacing w:beforeLines="40" w:before="96"/>
        <w:ind w:left="60"/>
        <w:jc w:val="both"/>
      </w:pPr>
      <w:r w:rsidRPr="00D65542">
        <w:t xml:space="preserve">L’A.MI.S. </w:t>
      </w:r>
      <w:r w:rsidR="004F5C0C">
        <w:t>n’</w:t>
      </w:r>
      <w:r w:rsidRPr="00D65542">
        <w:t>a partici</w:t>
      </w:r>
      <w:r>
        <w:t>pé</w:t>
      </w:r>
      <w:r w:rsidR="004F5C0C">
        <w:t xml:space="preserve"> </w:t>
      </w:r>
      <w:r w:rsidR="00444F50">
        <w:t xml:space="preserve">à </w:t>
      </w:r>
      <w:r w:rsidR="004F5C0C">
        <w:t>aucune</w:t>
      </w:r>
      <w:r w:rsidR="005E5309">
        <w:t xml:space="preserve"> bourse</w:t>
      </w:r>
      <w:r w:rsidR="00444F50">
        <w:t>. Les deux bourses</w:t>
      </w:r>
      <w:r>
        <w:t xml:space="preserve"> de Paris</w:t>
      </w:r>
      <w:r w:rsidR="00444F50">
        <w:t xml:space="preserve"> ont du être </w:t>
      </w:r>
      <w:r w:rsidR="003E3F04">
        <w:t>annulées</w:t>
      </w:r>
      <w:r w:rsidR="004F5C0C">
        <w:t>. L’exposition élaborée</w:t>
      </w:r>
      <w:r w:rsidR="003E3F04">
        <w:t xml:space="preserve"> au troisième trimestre 2019</w:t>
      </w:r>
      <w:r w:rsidR="004F5C0C">
        <w:t xml:space="preserve"> à l’occasion</w:t>
      </w:r>
      <w:r w:rsidR="000366CB">
        <w:t xml:space="preserve"> du 150</w:t>
      </w:r>
      <w:r w:rsidR="00312CC4" w:rsidRPr="00312CC4">
        <w:rPr>
          <w:sz w:val="32"/>
          <w:vertAlign w:val="superscript"/>
        </w:rPr>
        <w:t>e</w:t>
      </w:r>
      <w:r w:rsidR="00312CC4">
        <w:t xml:space="preserve"> </w:t>
      </w:r>
      <w:r w:rsidR="000366CB">
        <w:t>anniversaire du tableau périodique de Mendeleïev</w:t>
      </w:r>
      <w:r w:rsidR="004F5C0C">
        <w:t>, a été prolongée</w:t>
      </w:r>
      <w:r w:rsidR="003E3F04">
        <w:t>.</w:t>
      </w:r>
      <w:r w:rsidR="00C75135">
        <w:t xml:space="preserve"> La publication d</w:t>
      </w:r>
      <w:r w:rsidR="003E3F04">
        <w:t>u catalogue a été retardé</w:t>
      </w:r>
      <w:r w:rsidR="00724160">
        <w:t>e</w:t>
      </w:r>
      <w:bookmarkStart w:id="2" w:name="_GoBack"/>
      <w:bookmarkEnd w:id="2"/>
      <w:r w:rsidR="003E3F04">
        <w:t xml:space="preserve"> à cause des</w:t>
      </w:r>
      <w:r w:rsidR="00312CC4">
        <w:t xml:space="preserve"> </w:t>
      </w:r>
      <w:r w:rsidR="00C75135">
        <w:t>SUP (Sorbonne Université Presse</w:t>
      </w:r>
      <w:r w:rsidR="00312CC4">
        <w:t>s</w:t>
      </w:r>
      <w:r w:rsidR="00C75135">
        <w:t>)</w:t>
      </w:r>
      <w:r w:rsidR="00312CC4">
        <w:t xml:space="preserve">. L’A.MI.S. a repris le flambeau et ce livre </w:t>
      </w:r>
      <w:r w:rsidR="003E3F04">
        <w:t>est paru</w:t>
      </w:r>
      <w:r w:rsidR="00312CC4">
        <w:t xml:space="preserve"> en avril 2021 !</w:t>
      </w:r>
    </w:p>
    <w:p w14:paraId="6BD94AE3" w14:textId="77777777" w:rsidR="000A74A1" w:rsidRDefault="000A74A1" w:rsidP="00312CC4">
      <w:pPr>
        <w:spacing w:beforeLines="40" w:before="96"/>
        <w:jc w:val="both"/>
      </w:pPr>
    </w:p>
    <w:p w14:paraId="304A814A" w14:textId="024AE5CB" w:rsidR="00E8272E" w:rsidRPr="00310AAB" w:rsidRDefault="00950C71" w:rsidP="00DB3B78">
      <w:pPr>
        <w:spacing w:beforeLines="40" w:before="96"/>
        <w:jc w:val="right"/>
      </w:pPr>
      <w:r>
        <w:t xml:space="preserve">Jacques </w:t>
      </w:r>
      <w:proofErr w:type="spellStart"/>
      <w:r>
        <w:t>Geyssan</w:t>
      </w:r>
      <w:bookmarkEnd w:id="0"/>
      <w:bookmarkEnd w:id="1"/>
      <w:r w:rsidR="00444F50">
        <w:t>t</w:t>
      </w:r>
      <w:proofErr w:type="spellEnd"/>
    </w:p>
    <w:sectPr w:rsidR="00E8272E" w:rsidRPr="00310AAB" w:rsidSect="00950C71">
      <w:pgSz w:w="11900" w:h="16820"/>
      <w:pgMar w:top="1418" w:right="1418" w:bottom="1418" w:left="1418" w:header="0" w:footer="0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72BD8"/>
    <w:multiLevelType w:val="hybridMultilevel"/>
    <w:tmpl w:val="F3246AE4"/>
    <w:lvl w:ilvl="0" w:tplc="0FA481A4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8739D"/>
    <w:multiLevelType w:val="hybridMultilevel"/>
    <w:tmpl w:val="DFCA0E0C"/>
    <w:lvl w:ilvl="0" w:tplc="B0227E62">
      <w:start w:val="1"/>
      <w:numFmt w:val="bullet"/>
      <w:lvlText w:val="-"/>
      <w:lvlJc w:val="left"/>
      <w:pPr>
        <w:ind w:left="4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AED0797"/>
    <w:multiLevelType w:val="hybridMultilevel"/>
    <w:tmpl w:val="A03EF364"/>
    <w:lvl w:ilvl="0" w:tplc="04FEEF3E">
      <w:numFmt w:val="bullet"/>
      <w:lvlText w:val="-"/>
      <w:lvlJc w:val="left"/>
      <w:pPr>
        <w:ind w:left="4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8195EF5"/>
    <w:multiLevelType w:val="hybridMultilevel"/>
    <w:tmpl w:val="041AD2C2"/>
    <w:lvl w:ilvl="0" w:tplc="EFECCA5E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31149"/>
    <w:multiLevelType w:val="hybridMultilevel"/>
    <w:tmpl w:val="E7FE8062"/>
    <w:lvl w:ilvl="0" w:tplc="22D22FCA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AAB"/>
    <w:rsid w:val="000366CB"/>
    <w:rsid w:val="00053864"/>
    <w:rsid w:val="0008502A"/>
    <w:rsid w:val="000A74A1"/>
    <w:rsid w:val="00121674"/>
    <w:rsid w:val="0014159C"/>
    <w:rsid w:val="0018259D"/>
    <w:rsid w:val="00206A83"/>
    <w:rsid w:val="00254AAA"/>
    <w:rsid w:val="0027666C"/>
    <w:rsid w:val="002B4E46"/>
    <w:rsid w:val="002F46BD"/>
    <w:rsid w:val="00310AAB"/>
    <w:rsid w:val="00312CC4"/>
    <w:rsid w:val="003417BE"/>
    <w:rsid w:val="0038392E"/>
    <w:rsid w:val="003873C7"/>
    <w:rsid w:val="003E3F04"/>
    <w:rsid w:val="003E3F5B"/>
    <w:rsid w:val="0041208B"/>
    <w:rsid w:val="00423DB5"/>
    <w:rsid w:val="0042750D"/>
    <w:rsid w:val="00444F50"/>
    <w:rsid w:val="004A2A5E"/>
    <w:rsid w:val="004C3000"/>
    <w:rsid w:val="004E2664"/>
    <w:rsid w:val="004F5C0C"/>
    <w:rsid w:val="00536F85"/>
    <w:rsid w:val="0053756C"/>
    <w:rsid w:val="005561CE"/>
    <w:rsid w:val="005857B9"/>
    <w:rsid w:val="005C698B"/>
    <w:rsid w:val="005E5309"/>
    <w:rsid w:val="006300FD"/>
    <w:rsid w:val="00660A88"/>
    <w:rsid w:val="00667FAE"/>
    <w:rsid w:val="00707E3E"/>
    <w:rsid w:val="00724160"/>
    <w:rsid w:val="00777BF2"/>
    <w:rsid w:val="007D2C51"/>
    <w:rsid w:val="007E202E"/>
    <w:rsid w:val="007F7787"/>
    <w:rsid w:val="00814F67"/>
    <w:rsid w:val="00950C71"/>
    <w:rsid w:val="009B3EEB"/>
    <w:rsid w:val="00A05DF9"/>
    <w:rsid w:val="00A06DD8"/>
    <w:rsid w:val="00A14C58"/>
    <w:rsid w:val="00A75E38"/>
    <w:rsid w:val="00A818B5"/>
    <w:rsid w:val="00AC43DB"/>
    <w:rsid w:val="00AC5814"/>
    <w:rsid w:val="00AF03C4"/>
    <w:rsid w:val="00B117C9"/>
    <w:rsid w:val="00B9239F"/>
    <w:rsid w:val="00BD2B65"/>
    <w:rsid w:val="00C227DF"/>
    <w:rsid w:val="00C75135"/>
    <w:rsid w:val="00CB176F"/>
    <w:rsid w:val="00CC1BB8"/>
    <w:rsid w:val="00CE5B93"/>
    <w:rsid w:val="00D55E6B"/>
    <w:rsid w:val="00D57831"/>
    <w:rsid w:val="00D65542"/>
    <w:rsid w:val="00DB3B78"/>
    <w:rsid w:val="00DC7CB5"/>
    <w:rsid w:val="00DE0A56"/>
    <w:rsid w:val="00E05FEF"/>
    <w:rsid w:val="00E421FC"/>
    <w:rsid w:val="00E8272E"/>
    <w:rsid w:val="00F5407F"/>
    <w:rsid w:val="00F74491"/>
    <w:rsid w:val="00F859D4"/>
    <w:rsid w:val="00F85C91"/>
    <w:rsid w:val="00F97D0C"/>
    <w:rsid w:val="00FB198B"/>
    <w:rsid w:val="00FB4680"/>
    <w:rsid w:val="00FD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F206FC"/>
  <w14:defaultImageDpi w14:val="300"/>
  <w15:docId w15:val="{3D3D23C3-D3AE-574B-8B39-B7BE5299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AAB"/>
    <w:rPr>
      <w:rFonts w:ascii="Times" w:eastAsia="Times" w:hAnsi="Times"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rsid w:val="00310AAB"/>
    <w:pPr>
      <w:spacing w:line="360" w:lineRule="atLeast"/>
      <w:ind w:left="1134" w:right="200" w:hanging="1134"/>
    </w:pPr>
  </w:style>
  <w:style w:type="character" w:styleId="Lienhypertexte">
    <w:name w:val="Hyperlink"/>
    <w:uiPriority w:val="99"/>
    <w:semiHidden/>
    <w:unhideWhenUsed/>
    <w:rsid w:val="00310AA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581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5814"/>
    <w:rPr>
      <w:rFonts w:ascii="Lucida Grande" w:eastAsia="Times" w:hAnsi="Lucida Grande" w:cs="Lucida Grande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B92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1A57CE-49EE-6E49-9310-6A912B1CE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429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la version d'évaluation de Office 2004</dc:creator>
  <cp:keywords/>
  <dc:description/>
  <cp:lastModifiedBy>Microsoft Office User</cp:lastModifiedBy>
  <cp:revision>21</cp:revision>
  <cp:lastPrinted>2021-04-28T13:57:00Z</cp:lastPrinted>
  <dcterms:created xsi:type="dcterms:W3CDTF">2021-03-04T14:13:00Z</dcterms:created>
  <dcterms:modified xsi:type="dcterms:W3CDTF">2021-04-28T14:30:00Z</dcterms:modified>
</cp:coreProperties>
</file>